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4F" w:rsidRPr="00CB794F" w:rsidRDefault="00CB794F" w:rsidP="00CB794F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222222"/>
          <w:sz w:val="15"/>
          <w:szCs w:val="15"/>
          <w:lang w:eastAsia="es-ES"/>
        </w:rPr>
      </w:pPr>
      <w:r w:rsidRPr="00CB794F">
        <w:rPr>
          <w:rFonts w:ascii="Arial" w:eastAsia="Times New Roman" w:hAnsi="Arial" w:cs="Arial"/>
          <w:b/>
          <w:bCs/>
          <w:color w:val="222222"/>
          <w:sz w:val="15"/>
          <w:szCs w:val="15"/>
          <w:lang w:eastAsia="es-ES"/>
        </w:rPr>
        <w:t>La exposición ‘Educando el gusto’ reflexiona sobre el papel de la alimentación en la vida de las personas y las sociedades</w:t>
      </w:r>
    </w:p>
    <w:p w:rsidR="00CB794F" w:rsidRPr="00CB794F" w:rsidRDefault="00CB794F" w:rsidP="00CB794F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222222"/>
          <w:sz w:val="15"/>
          <w:szCs w:val="15"/>
          <w:lang w:eastAsia="es-ES"/>
        </w:rPr>
      </w:pPr>
      <w:r w:rsidRPr="00CB794F">
        <w:rPr>
          <w:rFonts w:ascii="Arial" w:eastAsia="Times New Roman" w:hAnsi="Arial" w:cs="Arial"/>
          <w:b/>
          <w:bCs/>
          <w:color w:val="222222"/>
          <w:sz w:val="15"/>
          <w:szCs w:val="15"/>
          <w:lang w:eastAsia="es-ES"/>
        </w:rPr>
        <w:t> </w:t>
      </w:r>
    </w:p>
    <w:p w:rsidR="00CB794F" w:rsidRPr="00E57722" w:rsidRDefault="00CB794F" w:rsidP="00CB794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222222"/>
          <w:sz w:val="16"/>
          <w:szCs w:val="16"/>
          <w:lang w:eastAsia="es-ES"/>
        </w:rPr>
      </w:pPr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Fruto de la colaboración de la escultora dianense y profesora de la Universidad Miguel Hernández </w:t>
      </w:r>
      <w:proofErr w:type="spellStart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Imma</w:t>
      </w:r>
      <w:proofErr w:type="spellEnd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 </w:t>
      </w:r>
      <w:proofErr w:type="spellStart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Mengual</w:t>
      </w:r>
      <w:proofErr w:type="spellEnd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 con un grupo de profesores de la Universidad de Alicante dirigido por el profesor Josep </w:t>
      </w:r>
      <w:proofErr w:type="spellStart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Bernabeu</w:t>
      </w:r>
      <w:proofErr w:type="spellEnd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 </w:t>
      </w:r>
      <w:proofErr w:type="spellStart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Mestre</w:t>
      </w:r>
      <w:proofErr w:type="spellEnd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, la exposición “Educando el gusto. Arte e historia del </w:t>
      </w:r>
      <w:r w:rsidRPr="00E57722">
        <w:rPr>
          <w:rFonts w:asciiTheme="majorHAnsi" w:eastAsia="Times New Roman" w:hAnsiTheme="majorHAnsi" w:cs="Arial"/>
          <w:i/>
          <w:iCs/>
          <w:color w:val="222222"/>
          <w:sz w:val="16"/>
          <w:szCs w:val="16"/>
          <w:lang w:eastAsia="es-ES"/>
        </w:rPr>
        <w:t>bien</w:t>
      </w:r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 comer” ofrece dos miradas sobre la alimentación, desde la historia y desde el arte, destinadas a reflexionar sobre el papel de la alimentación en la vida de las personas y las sociedades.</w:t>
      </w:r>
    </w:p>
    <w:p w:rsidR="00CB794F" w:rsidRPr="00E57722" w:rsidRDefault="00CB794F" w:rsidP="00CB794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222222"/>
          <w:sz w:val="16"/>
          <w:szCs w:val="16"/>
          <w:lang w:eastAsia="es-ES"/>
        </w:rPr>
      </w:pPr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 </w:t>
      </w:r>
    </w:p>
    <w:p w:rsidR="00CB794F" w:rsidRPr="00E57722" w:rsidRDefault="00CB794F" w:rsidP="00CB794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222222"/>
          <w:sz w:val="16"/>
          <w:szCs w:val="16"/>
          <w:lang w:eastAsia="es-ES"/>
        </w:rPr>
      </w:pPr>
      <w:proofErr w:type="spellStart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Imma</w:t>
      </w:r>
      <w:proofErr w:type="spellEnd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 </w:t>
      </w:r>
      <w:proofErr w:type="spellStart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Mengual</w:t>
      </w:r>
      <w:proofErr w:type="spellEnd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 aporta su mirada artística con el proyecto expositivo </w:t>
      </w:r>
      <w:r w:rsidRPr="00E57722">
        <w:rPr>
          <w:rFonts w:asciiTheme="majorHAnsi" w:eastAsia="Times New Roman" w:hAnsiTheme="majorHAnsi" w:cs="Arial"/>
          <w:i/>
          <w:iCs/>
          <w:color w:val="222222"/>
          <w:sz w:val="16"/>
          <w:szCs w:val="16"/>
          <w:lang w:eastAsia="es-ES"/>
        </w:rPr>
        <w:t>Con la boca llena no se habla</w:t>
      </w:r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, donde ofrecerá una visión crítica con una obra generada usando huesos, objetos y utensilios de ciertas comidas. </w:t>
      </w:r>
      <w:r w:rsidR="00731655"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Por su parte, l</w:t>
      </w:r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a exposición </w:t>
      </w:r>
      <w:r w:rsidRPr="00E57722">
        <w:rPr>
          <w:rFonts w:asciiTheme="majorHAnsi" w:eastAsia="Times New Roman" w:hAnsiTheme="majorHAnsi" w:cs="Arial"/>
          <w:i/>
          <w:iCs/>
          <w:color w:val="222222"/>
          <w:sz w:val="16"/>
          <w:szCs w:val="16"/>
          <w:lang w:eastAsia="es-ES"/>
        </w:rPr>
        <w:t>Cómo aprendimos a comer</w:t>
      </w:r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,</w:t>
      </w:r>
      <w:r w:rsidRPr="00E57722">
        <w:rPr>
          <w:rFonts w:asciiTheme="majorHAnsi" w:eastAsia="Times New Roman" w:hAnsiTheme="majorHAnsi" w:cs="Arial"/>
          <w:i/>
          <w:iCs/>
          <w:color w:val="222222"/>
          <w:sz w:val="16"/>
          <w:szCs w:val="16"/>
          <w:lang w:eastAsia="es-ES"/>
        </w:rPr>
        <w:t> </w:t>
      </w:r>
      <w:proofErr w:type="spellStart"/>
      <w:r w:rsidRPr="00E57722">
        <w:rPr>
          <w:rFonts w:asciiTheme="majorHAnsi" w:eastAsia="Times New Roman" w:hAnsiTheme="majorHAnsi" w:cs="Arial"/>
          <w:iCs/>
          <w:color w:val="222222"/>
          <w:sz w:val="16"/>
          <w:szCs w:val="16"/>
          <w:lang w:eastAsia="es-ES"/>
        </w:rPr>
        <w:t>comisariada</w:t>
      </w:r>
      <w:proofErr w:type="spellEnd"/>
      <w:r w:rsidRPr="00E57722">
        <w:rPr>
          <w:rFonts w:asciiTheme="majorHAnsi" w:eastAsia="Times New Roman" w:hAnsiTheme="majorHAnsi" w:cs="Arial"/>
          <w:iCs/>
          <w:color w:val="222222"/>
          <w:sz w:val="16"/>
          <w:szCs w:val="16"/>
          <w:lang w:eastAsia="es-ES"/>
        </w:rPr>
        <w:t xml:space="preserve"> por el profesor</w:t>
      </w:r>
      <w:r w:rsidRPr="00E57722">
        <w:rPr>
          <w:rFonts w:asciiTheme="majorHAnsi" w:eastAsia="Times New Roman" w:hAnsiTheme="majorHAnsi" w:cs="Arial"/>
          <w:i/>
          <w:iCs/>
          <w:color w:val="222222"/>
          <w:sz w:val="16"/>
          <w:szCs w:val="16"/>
          <w:lang w:eastAsia="es-ES"/>
        </w:rPr>
        <w:t xml:space="preserve"> </w:t>
      </w:r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Antonio García </w:t>
      </w:r>
      <w:proofErr w:type="spellStart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Belmar</w:t>
      </w:r>
      <w:proofErr w:type="spellEnd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, nos cuenta la historia del proyecto EDALNU, que entre 1961 y 1997 trató de transmitir a través de las escuelas españolas y divulgar entre la sociedad las formas de alimentarse que debían sacar definitivamente a la sociedad española de décadas de hambre y prepararla par los riesgos de la abundancia.</w:t>
      </w:r>
    </w:p>
    <w:p w:rsidR="00CB794F" w:rsidRPr="00E57722" w:rsidRDefault="00CB794F" w:rsidP="00CB794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222222"/>
          <w:sz w:val="16"/>
          <w:szCs w:val="16"/>
          <w:lang w:eastAsia="es-ES"/>
        </w:rPr>
      </w:pPr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 </w:t>
      </w:r>
    </w:p>
    <w:p w:rsidR="00CB794F" w:rsidRPr="00E57722" w:rsidRDefault="00CB794F" w:rsidP="00CB794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222222"/>
          <w:sz w:val="16"/>
          <w:szCs w:val="16"/>
          <w:lang w:eastAsia="es-ES"/>
        </w:rPr>
      </w:pPr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El </w:t>
      </w:r>
      <w:proofErr w:type="spellStart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Ajuntament</w:t>
      </w:r>
      <w:proofErr w:type="spellEnd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 de </w:t>
      </w:r>
      <w:proofErr w:type="spellStart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Dénia</w:t>
      </w:r>
      <w:proofErr w:type="spellEnd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, con la colaboración las Universidades de Valencia y Alicante y del Instituto de Historia de la Medicina y de la Ciencia “López Piñero, organiza esta muestra que se inaugura en el Centre </w:t>
      </w:r>
      <w:proofErr w:type="spellStart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d’Art</w:t>
      </w:r>
      <w:proofErr w:type="spellEnd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 </w:t>
      </w:r>
      <w:proofErr w:type="spellStart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l’Estació</w:t>
      </w:r>
      <w:proofErr w:type="spellEnd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 el viernes 16 de marzo, a las 20 horas.</w:t>
      </w:r>
    </w:p>
    <w:p w:rsidR="00CB794F" w:rsidRPr="00E57722" w:rsidRDefault="00CB794F" w:rsidP="00CB794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222222"/>
          <w:sz w:val="16"/>
          <w:szCs w:val="16"/>
          <w:lang w:eastAsia="es-ES"/>
        </w:rPr>
      </w:pPr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 </w:t>
      </w:r>
    </w:p>
    <w:p w:rsidR="00CB794F" w:rsidRPr="00E57722" w:rsidRDefault="00CB794F" w:rsidP="00CB794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222222"/>
          <w:sz w:val="16"/>
          <w:szCs w:val="16"/>
          <w:lang w:eastAsia="es-ES"/>
        </w:rPr>
      </w:pPr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Al hilo de esta doble exposición, que permanecerá en el Centre </w:t>
      </w:r>
      <w:proofErr w:type="spellStart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d’Art</w:t>
      </w:r>
      <w:proofErr w:type="spellEnd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 </w:t>
      </w:r>
      <w:proofErr w:type="spellStart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l’Estació</w:t>
      </w:r>
      <w:proofErr w:type="spellEnd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 hasta el 29 de abril, se van a generar una serie de actividades relacionadas con la educación del gusto como las mesas redondas “El reto de enseñar a comer” (19 de abril), “La gastronomía saludable como objetivo: el papel de la restauración y los comedores escolares” (25 de abril) y “La educación para el gusto artístico” (26 de abril), en las que participarán cocineros como </w:t>
      </w:r>
      <w:proofErr w:type="spellStart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Evarist</w:t>
      </w:r>
      <w:proofErr w:type="spellEnd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 Miralles y </w:t>
      </w:r>
      <w:proofErr w:type="spellStart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Pep</w:t>
      </w:r>
      <w:proofErr w:type="spellEnd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 </w:t>
      </w:r>
      <w:proofErr w:type="spellStart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Romany</w:t>
      </w:r>
      <w:proofErr w:type="spellEnd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, productores, dietistas, empresarios, artistas y docentes.</w:t>
      </w:r>
    </w:p>
    <w:p w:rsidR="00CB794F" w:rsidRPr="00E57722" w:rsidRDefault="00CB794F" w:rsidP="00CB794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222222"/>
          <w:sz w:val="16"/>
          <w:szCs w:val="16"/>
          <w:lang w:eastAsia="es-ES"/>
        </w:rPr>
      </w:pPr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 </w:t>
      </w:r>
    </w:p>
    <w:p w:rsidR="00CB794F" w:rsidRPr="00E57722" w:rsidRDefault="00CB794F" w:rsidP="00E57722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222222"/>
          <w:sz w:val="16"/>
          <w:szCs w:val="16"/>
          <w:lang w:eastAsia="es-ES"/>
        </w:rPr>
      </w:pPr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Asimismo, a lo largo del mes de abril se desarrollará el proyecto </w:t>
      </w:r>
      <w:proofErr w:type="spellStart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CineTapa</w:t>
      </w:r>
      <w:proofErr w:type="spellEnd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, en colaboración con el Cine Club </w:t>
      </w:r>
      <w:proofErr w:type="spellStart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Pessic</w:t>
      </w:r>
      <w:proofErr w:type="spellEnd"/>
      <w:r w:rsidRP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>, que ofrecerá al público la oportunidad de maridar cine y gastronomía disfrutando de una buena película y de una tapa inspirada en ella que elaborarán para la ocasión cocineras locales.</w:t>
      </w:r>
      <w:r w:rsidR="00E57722">
        <w:rPr>
          <w:rFonts w:asciiTheme="majorHAnsi" w:eastAsia="Times New Roman" w:hAnsiTheme="majorHAnsi" w:cs="Arial"/>
          <w:color w:val="222222"/>
          <w:sz w:val="16"/>
          <w:szCs w:val="16"/>
          <w:lang w:eastAsia="es-ES"/>
        </w:rPr>
        <w:t xml:space="preserve"> </w:t>
      </w:r>
      <w:r w:rsidRPr="00E57722">
        <w:rPr>
          <w:rFonts w:asciiTheme="majorHAnsi" w:eastAsia="Times New Roman" w:hAnsiTheme="majorHAnsi" w:cs="Tahoma"/>
          <w:color w:val="222222"/>
          <w:sz w:val="16"/>
          <w:szCs w:val="16"/>
          <w:lang w:eastAsia="es-ES"/>
        </w:rPr>
        <w:t xml:space="preserve">El </w:t>
      </w:r>
      <w:proofErr w:type="spellStart"/>
      <w:r w:rsidRPr="00E57722">
        <w:rPr>
          <w:rFonts w:asciiTheme="majorHAnsi" w:eastAsia="Times New Roman" w:hAnsiTheme="majorHAnsi" w:cs="Tahoma"/>
          <w:color w:val="222222"/>
          <w:sz w:val="16"/>
          <w:szCs w:val="16"/>
          <w:lang w:eastAsia="es-ES"/>
        </w:rPr>
        <w:t>CineTapa</w:t>
      </w:r>
      <w:proofErr w:type="spellEnd"/>
      <w:r w:rsidRPr="00E57722">
        <w:rPr>
          <w:rFonts w:asciiTheme="majorHAnsi" w:eastAsia="Times New Roman" w:hAnsiTheme="majorHAnsi" w:cs="Tahoma"/>
          <w:color w:val="222222"/>
          <w:sz w:val="16"/>
          <w:szCs w:val="16"/>
          <w:lang w:eastAsia="es-ES"/>
        </w:rPr>
        <w:t xml:space="preserve"> se realizará también con colegios e institutos y otras asociaciones como el Hogar del Jubilado, ofreciendo, esta vez, tapas inspiradas en los cortometrajes que se proyectarán.</w:t>
      </w:r>
    </w:p>
    <w:p w:rsidR="00F8519C" w:rsidRDefault="00F8519C"/>
    <w:sectPr w:rsidR="00F8519C" w:rsidSect="00F85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B794F"/>
    <w:rsid w:val="004A14EB"/>
    <w:rsid w:val="004F49EF"/>
    <w:rsid w:val="00731655"/>
    <w:rsid w:val="00B14C4E"/>
    <w:rsid w:val="00CB794F"/>
    <w:rsid w:val="00D771C3"/>
    <w:rsid w:val="00DF7F85"/>
    <w:rsid w:val="00E57722"/>
    <w:rsid w:val="00F8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6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4469">
                          <w:blockQuote w:val="1"/>
                          <w:marLeft w:val="47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2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7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41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67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9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1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24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9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2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5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AGB-HP Blanco</dc:creator>
  <cp:lastModifiedBy>AGB-HP Blanco</cp:lastModifiedBy>
  <cp:revision>3</cp:revision>
  <dcterms:created xsi:type="dcterms:W3CDTF">2018-03-13T14:05:00Z</dcterms:created>
  <dcterms:modified xsi:type="dcterms:W3CDTF">2018-03-13T15:02:00Z</dcterms:modified>
</cp:coreProperties>
</file>